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амятка-установите-шлагбаум-за-5-шагов"/>
    <w:p>
      <w:pPr>
        <w:pStyle w:val="Heading3"/>
      </w:pPr>
      <w:r>
        <w:t xml:space="preserve">Памятка: установите шлагбаум за 5 шагов</w:t>
      </w:r>
    </w:p>
    <w:p>
      <w:pPr>
        <w:pStyle w:val="FirstParagraph"/>
      </w:pPr>
      <w:r>
        <w:t xml:space="preserve">09.06.2021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yhino-zhulebino.mos.ru/www/upload/medialibrary/222/224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http://vyhino-zhulebino.mos.ru/presscenter/news/detail/10017487.html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00174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yhino-zhulebino.mos.ru" TargetMode="External" /><Relationship Type="http://schemas.openxmlformats.org/officeDocument/2006/relationships/hyperlink" Id="rId23" Target="http://vyhino-zhulebino.mos.ru/presscenter/news/detail/100174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2025-06-10T05:03:29Z</dcterms:created>
  <dcterms:modified xsi:type="dcterms:W3CDTF">2025-06-10T05:03:29Z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