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96f0f686a82addb7abbb1daa38c9b4edadca1"/>
    <w:p>
      <w:pPr>
        <w:pStyle w:val="Heading3"/>
      </w:pPr>
      <w:r>
        <w:t xml:space="preserve">Как узнать, какие льготы в г. Москве предоставляются при уплате имущественных налогов физических лиц</w:t>
      </w:r>
    </w:p>
    <w:p>
      <w:pPr>
        <w:pStyle w:val="FirstParagraph"/>
      </w:pPr>
      <w:r>
        <w:t xml:space="preserve">31.01.2022</w:t>
      </w:r>
    </w:p>
    <w:p>
      <w:pPr>
        <w:pStyle w:val="BodyText"/>
      </w:pPr>
      <w:r>
        <w:drawing>
          <wp:inline>
            <wp:extent cx="5334000" cy="75368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373/prilozhenie-_-2-_fiz.litsa2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68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http://vyhino-zhulebino.mos.ru/presscenter/news/detail/10588739.html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0588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0588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2023-06-30T19:24:07Z</dcterms:created>
  <dcterms:modified xsi:type="dcterms:W3CDTF">2023-06-30T19:24:07Z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