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>
      <w:pPr>
        <w:pStyle w:val="BodyText"/>
      </w:pPr>
      <w:r>
        <w:t xml:space="preserve">Значительно упростить процесс заполнения платежного документа позволяет электронный сервис 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</w:t>
      </w:r>
    </w:p>
    <w:p>
      <w:pPr>
        <w:pStyle w:val="BodyText"/>
      </w:pPr>
      <w:r>
        <w:t xml:space="preserve">Он ориентирован на конкретную категорию плательщика и расположен в каждом из соответствующих разделов: «Физическим лицам», «Индивидуальным предпринимателям» и «Юридическим лицам». В зависимости от выбранного раздела автоматически определяются статус плательщика и виды пошлин, подлежащих уплате.</w:t>
      </w:r>
    </w:p>
    <w:p>
      <w:pPr>
        <w:pStyle w:val="BodyText"/>
      </w:pPr>
      <w:r>
        <w:t xml:space="preserve"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>
      <w:pPr>
        <w:pStyle w:val="BodyText"/>
      </w:pPr>
      <w:r>
        <w:drawing>
          <wp:inline>
            <wp:extent cx="5334000" cy="76713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fd7/d_1987179045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1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http://vyhino-zhulebino.mos.ru/presscenter/news/detail/10713746.html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13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713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2023-07-30T08:33:02Z</dcterms:created>
  <dcterms:modified xsi:type="dcterms:W3CDTF">2023-07-30T08:33:02Z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