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52c9b98bd832bf400eea2c4a9914b51d6f04f51"/>
    <w:p>
      <w:pPr>
        <w:pStyle w:val="Heading3"/>
      </w:pPr>
      <w:r>
        <w:t xml:space="preserve">Предоставление отсрочки (рассрочки) по налогам</w:t>
      </w:r>
    </w:p>
    <w:p>
      <w:pPr>
        <w:pStyle w:val="FirstParagraph"/>
      </w:pPr>
      <w:r>
        <w:t xml:space="preserve">31.03.2022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http://vyhino-zhulebino.mos.ru/presscenter/news/detail/10721596.html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Выхино-Жулебино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vyhino-zhulebino.mos.ru" TargetMode="External" /><Relationship Type="http://schemas.openxmlformats.org/officeDocument/2006/relationships/hyperlink" Id="rId20" Target="http://vyhino-zhulebino.mos.ru/presscenter/news/detail/10721596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vyhino-zhulebino.mos.ru" TargetMode="External" /><Relationship Type="http://schemas.openxmlformats.org/officeDocument/2006/relationships/hyperlink" Id="rId20" Target="http://vyhino-zhulebino.mos.ru/presscenter/news/detail/10721596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2023-08-22T19:33:54Z</dcterms:created>
  <dcterms:modified xsi:type="dcterms:W3CDTF">2023-08-22T19:33:54Z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