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c5344008f83e7bcf18fc383f8b9ec467c44fd"/>
    <w:p>
      <w:pPr>
        <w:pStyle w:val="Heading3"/>
      </w:pPr>
      <w:r>
        <w:t xml:space="preserve">График проведения вебинаров с налогоплательщиками на апрель 2022 г. ИФНС России № 7722 по г.Москве</w:t>
      </w:r>
    </w:p>
    <w:p>
      <w:pPr>
        <w:pStyle w:val="FirstParagraph"/>
      </w:pPr>
      <w:r>
        <w:t xml:space="preserve">21.04.2022</w:t>
      </w:r>
    </w:p>
    <w:p>
      <w:pPr>
        <w:pStyle w:val="BodyText"/>
      </w:pPr>
      <w:r>
        <w:drawing>
          <wp:inline>
            <wp:extent cx="5334000" cy="77147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eb9/grafik-aprel_page_000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4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http://vyhino-zhulebino.mos.ru/presscenter/news/detail/10766911.html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766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766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2023-07-30T08:40:14Z</dcterms:created>
  <dcterms:modified xsi:type="dcterms:W3CDTF">2023-07-30T08:40:14Z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