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18f783d3a0a552908ae4a30d402cb35c21e354"/>
    <w:p>
      <w:pPr>
        <w:pStyle w:val="Heading3"/>
      </w:pPr>
      <w:r>
        <w:t xml:space="preserve">27 апреля 2022 года пройдет вебинар "Порядок заполнения платежных документов для перечисления налоговых платежей"</w:t>
      </w:r>
    </w:p>
    <w:p>
      <w:pPr>
        <w:pStyle w:val="FirstParagraph"/>
      </w:pPr>
      <w:r>
        <w:t xml:space="preserve">21.04.2022</w:t>
      </w:r>
    </w:p>
    <w:p>
      <w:pPr>
        <w:pStyle w:val="BodyText"/>
      </w:pPr>
      <w:r>
        <w:drawing>
          <wp:inline>
            <wp:extent cx="5334000" cy="73711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yhino-zhulebino.mos.ru/www/upload/medialibrary/1d9/vebinar_poryadok_zapoleniya_platezhnyk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711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http://vyhino-zhulebino.mos.ru/presscenter/news/detail/10767156.html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0767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0767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2025-05-27T22:24:05Z</dcterms:created>
  <dcterms:modified xsi:type="dcterms:W3CDTF">2025-05-27T22:24:05Z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