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97a69ecd3e94726e4664f7695342beb942541"/>
    <w:p>
      <w:pPr>
        <w:pStyle w:val="Heading3"/>
      </w:pPr>
      <w:r>
        <w:t xml:space="preserve">28 апреля пройдет вебинар "Декларационная кампания 2022 года"</w:t>
      </w:r>
    </w:p>
    <w:p>
      <w:pPr>
        <w:pStyle w:val="FirstParagraph"/>
      </w:pPr>
      <w:r>
        <w:t xml:space="preserve">21.04.2022</w:t>
      </w:r>
    </w:p>
    <w:p>
      <w:pPr>
        <w:pStyle w:val="BodyText"/>
      </w:pPr>
      <w:r>
        <w:drawing>
          <wp:inline>
            <wp:extent cx="5334000" cy="73711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01e/vebinar_deklaratsionnaya_kampaniya_20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711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http://vyhino-zhulebino.mos.ru/presscenter/news/detail/10767169.html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0767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0767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2023-10-09T10:41:32Z</dcterms:created>
  <dcterms:modified xsi:type="dcterms:W3CDTF">2023-10-09T10:41:32Z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