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2fcfb93a360ba82e68151397c45196e3d6fd0"/>
    <w:p>
      <w:pPr>
        <w:pStyle w:val="Heading3"/>
      </w:pPr>
      <w:r>
        <w:t xml:space="preserve">График проведения вебинаров с налогоплательщиками на сентябрь 2022г. ИФНС России №7722 по г. Москве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drawing>
          <wp:inline>
            <wp:extent cx="5334000" cy="7724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5d2/byfcxxw7z8rhnklmsiq1n7bk7pwjkqs3/ldl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24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http://vyhino-zhulebino.mos.ru/presscenter/news/detail/11012927.html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012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012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2023-05-26T11:45:10Z</dcterms:created>
  <dcterms:modified xsi:type="dcterms:W3CDTF">2023-05-26T11:45:10Z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