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29.png" ContentType="image/png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983cf2f33670f88c4a967d3c001a69560206dea"/>
    <w:p>
      <w:pPr>
        <w:pStyle w:val="Heading3"/>
      </w:pPr>
      <w:r>
        <w:t xml:space="preserve">График проведения вебинаров с налогоплательщиками в 4 квартале 2022 года ИФНС России № 21 по г. Москве</w:t>
      </w:r>
    </w:p>
    <w:p>
      <w:pPr>
        <w:pStyle w:val="FirstParagraph"/>
      </w:pPr>
      <w:r>
        <w:t xml:space="preserve">06.10.2022</w:t>
      </w:r>
    </w:p>
    <w:p>
      <w:pPr>
        <w:pStyle w:val="BodyText"/>
      </w:pPr>
      <w:r>
        <w:drawing>
          <wp:inline>
            <wp:extent cx="5334000" cy="35629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yhino-zhulebino.mos.ru/www/upload/medialibrary/9df/3xrx6q8eomsd3sqqhoym78jkn4e7lns9/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29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vyhino-zhulebino.mos.ru/www/upload/medialibrary/fae/jem2bc1cvpcww9ipvfrdi8y6xv2y1vxh/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vyhino-zhulebino.mos.ru/www/upload/medialibrary/13d/4v44s3eagyf61ofdbcqk52akswphmd10/3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9191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vyhino-zhulebino.mos.ru/www/upload/medialibrary/953/ek9e9xh26inh9hnqc2kx3w7jdof1e3m3/4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919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http://vyhino-zhulebino.mos.ru/presscenter/news/detail/11092826.html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hyperlink" Id="rId33" Target="http://vyhino-zhulebino.mos.ru" TargetMode="External" /><Relationship Type="http://schemas.openxmlformats.org/officeDocument/2006/relationships/hyperlink" Id="rId32" Target="http://vyhino-zhulebino.mos.ru/presscenter/news/detail/110928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vyhino-zhulebino.mos.ru" TargetMode="External" /><Relationship Type="http://schemas.openxmlformats.org/officeDocument/2006/relationships/hyperlink" Id="rId32" Target="http://vyhino-zhulebino.mos.ru/presscenter/news/detail/110928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2023-05-26T11:44:08Z</dcterms:created>
  <dcterms:modified xsi:type="dcterms:W3CDTF">2023-05-26T11:44:08Z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