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cf57e8175dc476b971293323fb2862c70af6a"/>
    <w:p>
      <w:pPr>
        <w:pStyle w:val="Heading3"/>
      </w:pPr>
      <w:r>
        <w:t xml:space="preserve">График проведения вебинаров с налогоплательщиками в январе 2023г. ИФНС России №22 по г. Москве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d1c/6gwa0xowme5qf7w704lj725b870trpp6/grafik-YAnvar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http://vyhino-zhulebino.mos.ru/presscenter/news/detail/11348731.html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348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348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2023-08-18T10:15:55Z</dcterms:created>
  <dcterms:modified xsi:type="dcterms:W3CDTF">2023-08-18T10:15:55Z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