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bfd4223d496efdbc7ed8edbd41f7496a2028d"/>
    <w:p>
      <w:pPr>
        <w:pStyle w:val="Heading3"/>
      </w:pPr>
      <w:r>
        <w:t xml:space="preserve">Порядок заполнения платежных документов в условиях работы ЕНС</w:t>
      </w:r>
    </w:p>
    <w:p>
      <w:pPr>
        <w:pStyle w:val="FirstParagraph"/>
      </w:pPr>
      <w:r>
        <w:t xml:space="preserve">19.01.2023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3ff/d59un885uke5in2epk2umqadvl1l0niq/KZyR7BBaykh_F6WOFsT4oJ4NG9oqJ_GxS_acyuyB3S8IH3I8qEtTpapoxAmBmJC6gEgOG5qe2kI38yf8kXOqyzOWArtE9rMXj9tNtCHmbVgLGMZyhJ6XZXU5RKf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http://vyhino-zhulebino.mos.ru/presscenter/news/detail/11355891.html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355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355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2023-11-13T16:18:23Z</dcterms:created>
  <dcterms:modified xsi:type="dcterms:W3CDTF">2023-11-13T16:18:23Z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