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be7d3476593207e11b3f936b70c5e96a9e89c"/>
    <w:p>
      <w:pPr>
        <w:pStyle w:val="Heading3"/>
      </w:pPr>
      <w:r>
        <w:t xml:space="preserve">ИФНС России № 22 по городу Москве информирует о проведении вебинаров.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t xml:space="preserve">На вебинарах специалисты Инспекции рассматривают вопросы изменений в налоговом законодательстве, имушественных налогов физических лиц, исчисления и уплаты страховых взносов, налога на доходы физических лиц и получения налоговых вычетов, налога на прибыль организаций, имущественных налогов организаций и НДС, регистрации ККТ, специальных налоговых режимов, урегулирования задолженности и банкротства физических лиц. </w:t>
      </w:r>
    </w:p>
    <w:p>
      <w:pPr>
        <w:pStyle w:val="BodyText"/>
      </w:pPr>
      <w:r>
        <w:drawing>
          <wp:inline>
            <wp:extent cx="2483317" cy="2569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445/pmnzo1rgjbnx6spdipf3io9jqzgbiucm/QR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317" cy="2569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http://vyhino-zhulebino.mos.ru/presscenter/news/detail/11422837.html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422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422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2025-03-04T23:58:27Z</dcterms:created>
  <dcterms:modified xsi:type="dcterms:W3CDTF">2025-03-04T23:58:27Z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