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18f3e0a7ad74a75bfc12ff40d2c55de2c0c17"/>
    <w:p>
      <w:pPr>
        <w:pStyle w:val="Heading3"/>
      </w:pPr>
      <w:r>
        <w:t xml:space="preserve">Дополнительное проведение вебинаров для налогоплательщиков на февраль и март 2023 года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drawing>
          <wp:inline>
            <wp:extent cx="5334000" cy="53786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4ac/o319t0ztdi80lkypocoyj1u0ylpmxjf4/FNS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786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http://vyhino-zhulebino.mos.ru/presscenter/news/detail/11432703.html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432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432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2023-08-18T10:15:34Z</dcterms:created>
  <dcterms:modified xsi:type="dcterms:W3CDTF">2023-08-18T10:15:34Z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