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екларационная-кампания-2023-года"/>
    <w:p>
      <w:pPr>
        <w:pStyle w:val="Heading3"/>
      </w:pPr>
      <w:r>
        <w:t xml:space="preserve">ДЕКЛАРАЦИОННАЯ КАМПАНИЯ 2023 ГОДА</w:t>
      </w:r>
    </w:p>
    <w:p>
      <w:pPr>
        <w:pStyle w:val="FirstParagraph"/>
      </w:pPr>
      <w:r>
        <w:t xml:space="preserve">28.03.2023</w:t>
      </w:r>
    </w:p>
    <w:p>
      <w:pPr>
        <w:pStyle w:val="BodyText"/>
      </w:pPr>
      <w:r>
        <w:drawing>
          <wp:inline>
            <wp:extent cx="5334000" cy="723366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yhino-zhulebino.mos.ru/www/upload/medialibrary/908/et71zr95xrod8784s4fu0e8e2ck3eaeq/1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2336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http://vyhino-zhulebino.mos.ru/presscenter/news/detail/11493506.html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14935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14935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2024-07-17T01:21:22Z</dcterms:created>
  <dcterms:modified xsi:type="dcterms:W3CDTF">2024-07-17T01:21:22Z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