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2288e06c3a035648ccf75f2240022d6dab491"/>
    <w:p>
      <w:pPr>
        <w:pStyle w:val="Heading3"/>
      </w:pPr>
      <w:r>
        <w:t xml:space="preserve">Инспекция Федеральной налоговой службы № 21 по г. Москве приглашает на государственную гражданскую службу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С информацией можно ознакомиться </w:t>
      </w:r>
      <w:hyperlink r:id="rId20">
        <w:r>
          <w:rPr>
            <w:rStyle w:val="Hyperlink"/>
          </w:rPr>
          <w:t xml:space="preserve">здесь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http://vyhino-zhulebino.mos.ru/presscenter/news/detail/11678875.html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4;&#1086;&#1082;&#1091;&#1084;&#1077;&#1085;&#1090;&#1099;/7721%20&#1087;&#1088;&#1080;&#1075;&#1083;%20&#1053;&#1040;%20&#1056;&#1040;&#1041;&#1054;&#1058;&#1059;.pdf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678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4;&#1086;&#1082;&#1091;&#1084;&#1077;&#1085;&#1090;&#1099;/7721%20&#1087;&#1088;&#1080;&#1075;&#1083;%20&#1053;&#1040;%20&#1056;&#1040;&#1041;&#1054;&#1058;&#1059;.pdf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678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2025-03-19T09:19:57Z</dcterms:created>
  <dcterms:modified xsi:type="dcterms:W3CDTF">2025-03-19T09:19:57Z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