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54af6d56ab95de96a3a3d7dd58465dc789790"/>
    <w:p>
      <w:pPr>
        <w:pStyle w:val="Heading3"/>
      </w:pPr>
      <w:r>
        <w:t xml:space="preserve">Информационно-разъяснительный материал в связи с внесением изменений в законодательную базу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В связи с принятием Федерального закона от 08.08.2024 № 259-ФЗ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сборах" и внесением изменений в статью 58 Налогового кодекса Российской Федерации ФНС России № 23 по г. Москве направляет разъяснения (приложение)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http://vyhino-zhulebino.mos.ru/presscenter/news/detail/12852999.html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852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852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2025-08-06T02:06:26Z</dcterms:created>
  <dcterms:modified xsi:type="dcterms:W3CDTF">2025-08-06T02:06:26Z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