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a81ec03ad5a3459ac1894be7a5cb4f3e89ab0"/>
    <w:p>
      <w:pPr>
        <w:pStyle w:val="Heading3"/>
      </w:pPr>
      <w:r>
        <w:t xml:space="preserve">О применении охранно-защитных дератизационных систем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t xml:space="preserve">Управление Роспотребнадзора по г. Москве, в соответствии с письмом ФБУ «Научно-исследовательский институт дезинфектологии» Роспотребнадзора сообщает, что организация и проведение дератизационных работ на объектах города регламентируется требованиями СП 3.5.3.1129-02 «Санитарно-эпидемиологическое требования к проведению дератизации», определяющих понятие «Дератизация» как систему санитарно-гигиенических, санитарно-технических и истребительных мероприятий».</w:t>
      </w:r>
      <w:r>
        <w:br/>
      </w:r>
      <w:r>
        <w:t xml:space="preserve">Установка охранно-защитных дератизационных систем (ОЗДС), согласно СП 3.5.3.1129-02, является одним из основных санитарно-технических мероприятий, обеспечивающих защиту объекта от проникновения грызунов.</w:t>
      </w:r>
      <w:r>
        <w:br/>
      </w:r>
      <w:r>
        <w:t xml:space="preserve">По информации ФБУ «Научно-исследовательский институт дезинфектологии» прошли медико-биологическую экспертизу только электрический дератизатор «ИССАН-ОХРА-Д-333» и ультразвуковые генераторы «Тайфун» и «Сонар». Для них разработаны режимы применения в соответствии с категорией объектов защиты, определены критерии эффективности и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http://vyhino-zhulebino.mos.ru/presscenter/news/detail/2170641.html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170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170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2025-05-02T09:22:33Z</dcterms:created>
  <dcterms:modified xsi:type="dcterms:W3CDTF">2025-05-02T09:22:33Z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