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b7c932ea92430e9b3bd69591f317d2fe2a215"/>
    <w:p>
      <w:pPr>
        <w:pStyle w:val="Heading3"/>
      </w:pPr>
      <w:r>
        <w:t xml:space="preserve">Собянин: Около 9 млн пассажиров воспользовались МЦК с момента его открытия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rPr>
          <w:iCs/>
          <w:i/>
          <w:bCs/>
          <w:b/>
        </w:rPr>
        <w:t xml:space="preserve">За два неполных месяца с начала работы МЦК поездами Центрального кольца воспользовалось около девяти миллионов человек. Об этом сообщил мэр Москвы Сергей Собянин в ходе ежегодного отчета перед депутатами Московской городской Думы.</w:t>
      </w:r>
    </w:p>
    <w:p>
      <w:pPr>
        <w:pStyle w:val="BodyText"/>
      </w:pPr>
      <w:r>
        <w:t xml:space="preserve">— За неполные два месяца работы МЦК воспользовались порядка 9 млн пассажиров. И это при том, что интеграция МЦК с другими линиями метро и пригородными электричками еще не завершена, — сообщил Сергей Собянин.</w:t>
      </w:r>
    </w:p>
    <w:p>
      <w:pPr>
        <w:pStyle w:val="BodyText"/>
      </w:pPr>
      <w:r>
        <w:t xml:space="preserve">Кроме того, в Москве, по словам Сергея Собянина, реализуется крупнейший инженерный проект по созданию Большого кольца столичного метрополитена. Общая протяженность его составит примерно шестьдесят километров. А полный запуск новой линии может состоятся уже через пять-шесть лет. В ближайшие месяцы будет запущено движение по первому участку, который соединит «Деловой центр» и «Петровский парк».</w:t>
      </w:r>
    </w:p>
    <w:p>
      <w:pPr>
        <w:pStyle w:val="BodyText"/>
      </w:pPr>
      <w:r>
        <w:t xml:space="preserve">Благодаря Большому кольцу столичного метрополитена не только улучшатся связи в центре города, но и появится задел для строительства новых радиусов метро на ближайшие десятилетия. При этом продолжится строительство новых станций в Солнцеве, Ново-Переделкине, Некрасовке и Ховрине, а старейшую Сокольническую линию продлят в Коммунарку. В ближайшие месяцы откроются три станции Калининско-Солнцевской линии от «Парка Победы» до «Раменок»</w:t>
      </w:r>
    </w:p>
    <w:p>
      <w:pPr>
        <w:pStyle w:val="BodyText"/>
      </w:pPr>
      <w:r>
        <w:t xml:space="preserve">— Еще одним важнейшим событием 2016 г. стало внедрение новой модели работы наземного пассажирского транспорта, в рамках которой маршрутки были замены на 2 тыс. коммерческих автобусов победителей соответствующих конкурсов. Для пассажиров, пользующихся «длинными» билетами, стоимость проезда в коммерческих автобусах снизилась на 10–15 руб., или в среднем на 35% за одну поездку, — отметил Сергей Собянин.</w:t>
      </w:r>
    </w:p>
    <w:p>
      <w:pPr>
        <w:pStyle w:val="BodyText"/>
      </w:pPr>
      <w:r>
        <w:t xml:space="preserve">Как ранее сообщили в пресс-службе департамента транспорта столицы, для работы по новым стандартам частные транспортные компании закупили около 2 тыс. новых автобусов разной вместимости, оборудованных голосовым оповещением об остановках, системой климат-контроля, ГЛОНАСС, камерами видеонаблюдения.</w:t>
      </w:r>
    </w:p>
    <w:p>
      <w:pPr>
        <w:pStyle w:val="BodyText"/>
      </w:pPr>
      <w:r>
        <w:t xml:space="preserve">На маршрутах с большим пассажиропотоком работают автобусы большой вместимости, в которых могут разместиться порядка 85 человек. На менее загруженных направлениях работают автобусы средней (от 40 человек) и малой вместимости (от 20 человек). При этом подвижным составом большой и средней вместимости могут пользоваться маломобильные граждане и пассажиры с детскими колясками, для которых раньше коммерческий транспорт не был доступен из-за отсутствия аппарели.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http://vyhino-zhulebino.mos.ru/presscenter/news/detail/4055084.html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55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55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2024-12-09T12:05:32Z</dcterms:created>
  <dcterms:modified xsi:type="dcterms:W3CDTF">2024-12-09T12:05:32Z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